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438D5ACF" w:rsidR="00294B0C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061512">
        <w:rPr>
          <w:b/>
          <w:sz w:val="28"/>
          <w:szCs w:val="28"/>
          <w:u w:val="single"/>
        </w:rPr>
        <w:t>3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061512">
        <w:rPr>
          <w:b/>
          <w:sz w:val="28"/>
          <w:szCs w:val="28"/>
          <w:u w:val="single"/>
        </w:rPr>
        <w:t>25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061512">
        <w:rPr>
          <w:b/>
          <w:sz w:val="28"/>
          <w:szCs w:val="28"/>
          <w:u w:val="single"/>
        </w:rPr>
        <w:t>3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57FEBAE2" w:rsidR="007E6A02" w:rsidRPr="004E2C87" w:rsidRDefault="00D54FAB" w:rsidP="0079702E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70D6C" w:rsidRPr="004E2C87">
              <w:rPr>
                <w:sz w:val="22"/>
                <w:szCs w:val="22"/>
              </w:rPr>
              <w:t>Š</w:t>
            </w:r>
            <w:r w:rsidR="00536322" w:rsidRPr="004E2C87">
              <w:rPr>
                <w:sz w:val="22"/>
                <w:szCs w:val="22"/>
              </w:rPr>
              <w:t>ebestová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3C3BF9F0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122BBE32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41E9858D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4E2C87" w:rsidRDefault="00527D15" w:rsidP="006D62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71ED" w:rsidRPr="002B2FAF" w14:paraId="179CDB80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C099BF6" w14:textId="5D783D2A" w:rsidR="00F971ED" w:rsidRPr="00F971ED" w:rsidRDefault="00F971ED" w:rsidP="00F971ED">
            <w:pPr>
              <w:ind w:left="360"/>
              <w:jc w:val="center"/>
            </w:pPr>
            <w:r>
              <w:t xml:space="preserve">     </w:t>
            </w:r>
            <w:r w:rsidRPr="00F971ED">
              <w:t>5.</w:t>
            </w:r>
            <w:r w:rsidRPr="004A5316">
              <w:t>1</w:t>
            </w:r>
          </w:p>
        </w:tc>
        <w:tc>
          <w:tcPr>
            <w:tcW w:w="5705" w:type="dxa"/>
            <w:vAlign w:val="center"/>
          </w:tcPr>
          <w:p w14:paraId="37B0F87F" w14:textId="7D16C164" w:rsidR="00F971ED" w:rsidRPr="002B2FAF" w:rsidRDefault="00F971ED" w:rsidP="006D629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Cs/>
                <w:color w:val="262626" w:themeColor="text1" w:themeTint="D9"/>
                <w:sz w:val="22"/>
                <w:szCs w:val="22"/>
                <w:lang w:eastAsia="en-US"/>
              </w:rPr>
              <w:t>Delegování zástupce Libereckého kraje na jednání valné hromady KNL, a.s., pověření hlasováním</w:t>
            </w:r>
          </w:p>
        </w:tc>
        <w:tc>
          <w:tcPr>
            <w:tcW w:w="2126" w:type="dxa"/>
            <w:vAlign w:val="center"/>
          </w:tcPr>
          <w:p w14:paraId="1B39E898" w14:textId="5ED35FC0" w:rsidR="00F971ED" w:rsidRPr="004E2C87" w:rsidRDefault="004E2C87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Mgr. Richter </w:t>
            </w: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4E2C87" w:rsidRDefault="00C6482B" w:rsidP="00CF6B1A">
            <w:pPr>
              <w:rPr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C6482B" w:rsidRPr="002B2FAF" w14:paraId="13E2122B" w14:textId="77777777" w:rsidTr="00061512">
        <w:trPr>
          <w:trHeight w:hRule="exact" w:val="1286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705" w:type="dxa"/>
            <w:vAlign w:val="center"/>
          </w:tcPr>
          <w:p w14:paraId="2C614A50" w14:textId="671DA7B3" w:rsidR="00BC745F" w:rsidRDefault="00C6482B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č. </w:t>
            </w:r>
            <w:r w:rsidR="00F971ED">
              <w:rPr>
                <w:iCs/>
                <w:color w:val="262626" w:themeColor="text1" w:themeTint="D9"/>
                <w:lang w:eastAsia="en-US"/>
              </w:rPr>
              <w:t>78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>/2</w:t>
            </w:r>
            <w:r w:rsidR="00BC745F" w:rsidRPr="00EE4AF3">
              <w:rPr>
                <w:iCs/>
                <w:color w:val="262626" w:themeColor="text1" w:themeTint="D9"/>
                <w:lang w:eastAsia="en-US"/>
              </w:rPr>
              <w:t>6</w:t>
            </w:r>
            <w:r w:rsidR="00570D6C" w:rsidRPr="00EE4AF3">
              <w:rPr>
                <w:iCs/>
                <w:color w:val="262626" w:themeColor="text1" w:themeTint="D9"/>
                <w:lang w:eastAsia="en-US"/>
              </w:rPr>
              <w:t xml:space="preserve"> – </w:t>
            </w:r>
            <w:r w:rsidR="00F971ED">
              <w:rPr>
                <w:iCs/>
                <w:color w:val="262626" w:themeColor="text1" w:themeTint="D9"/>
                <w:lang w:eastAsia="en-US"/>
              </w:rPr>
              <w:t xml:space="preserve">navýšení </w:t>
            </w:r>
            <w:r w:rsidR="00061512" w:rsidRPr="00EE4AF3">
              <w:rPr>
                <w:iCs/>
                <w:color w:val="262626" w:themeColor="text1" w:themeTint="D9"/>
                <w:lang w:eastAsia="en-US"/>
              </w:rPr>
              <w:t xml:space="preserve">kapitoly 917 09 Transfery, </w:t>
            </w:r>
            <w:r w:rsidR="00F971ED">
              <w:rPr>
                <w:iCs/>
                <w:color w:val="262626" w:themeColor="text1" w:themeTint="D9"/>
                <w:lang w:eastAsia="en-US"/>
              </w:rPr>
              <w:t>zdravotnictví</w:t>
            </w:r>
            <w:r w:rsidR="00061512" w:rsidRPr="00EE4AF3">
              <w:rPr>
                <w:iCs/>
                <w:color w:val="262626" w:themeColor="text1" w:themeTint="D9"/>
                <w:lang w:eastAsia="en-US"/>
              </w:rPr>
              <w:t xml:space="preserve"> – </w:t>
            </w:r>
            <w:r w:rsidR="00F971ED">
              <w:rPr>
                <w:iCs/>
                <w:color w:val="262626" w:themeColor="text1" w:themeTint="D9"/>
                <w:lang w:eastAsia="en-US"/>
              </w:rPr>
              <w:t>poskytnutí neinvestičních finančních prostředků ze státního rozpočtu – krizová připravenost</w:t>
            </w:r>
          </w:p>
          <w:p w14:paraId="50514AEB" w14:textId="77777777" w:rsidR="00061512" w:rsidRPr="00EE4AF3" w:rsidRDefault="00061512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</w:p>
          <w:p w14:paraId="03D0752C" w14:textId="77777777" w:rsidR="00BC745F" w:rsidRPr="00536322" w:rsidRDefault="00BC745F" w:rsidP="00CF6B1A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  <w:p w14:paraId="6FC733EE" w14:textId="3620E9AB" w:rsidR="00C6482B" w:rsidRPr="00536322" w:rsidRDefault="00C6482B" w:rsidP="00CF6B1A">
            <w:pPr>
              <w:spacing w:before="60" w:after="60"/>
              <w:jc w:val="both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2022C1" w14:textId="318BAC9F" w:rsidR="00C6482B" w:rsidRPr="004E2C87" w:rsidRDefault="00061512" w:rsidP="00CF6B1A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142D54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2FB59DBA" w:rsidR="00570D6C" w:rsidRPr="002B2FAF" w:rsidRDefault="004E2C87" w:rsidP="00570D6C">
            <w:pPr>
              <w:ind w:left="720"/>
            </w:pPr>
            <w:r>
              <w:t>6.2</w:t>
            </w:r>
          </w:p>
        </w:tc>
        <w:tc>
          <w:tcPr>
            <w:tcW w:w="5705" w:type="dxa"/>
            <w:vAlign w:val="center"/>
          </w:tcPr>
          <w:p w14:paraId="458240E1" w14:textId="68BCB904" w:rsidR="00F971ED" w:rsidRDefault="00F971ED" w:rsidP="00F971ED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EE4AF3">
              <w:rPr>
                <w:iCs/>
                <w:color w:val="262626" w:themeColor="text1" w:themeTint="D9"/>
                <w:lang w:eastAsia="en-US"/>
              </w:rPr>
              <w:t xml:space="preserve">RO č. </w:t>
            </w:r>
            <w:r>
              <w:rPr>
                <w:iCs/>
                <w:color w:val="262626" w:themeColor="text1" w:themeTint="D9"/>
                <w:lang w:eastAsia="en-US"/>
              </w:rPr>
              <w:t>86</w:t>
            </w:r>
            <w:r w:rsidRPr="00EE4AF3">
              <w:rPr>
                <w:iCs/>
                <w:color w:val="262626" w:themeColor="text1" w:themeTint="D9"/>
                <w:lang w:eastAsia="en-US"/>
              </w:rPr>
              <w:t>/26 – úprav</w:t>
            </w:r>
            <w:r w:rsidR="0014624F">
              <w:rPr>
                <w:iCs/>
                <w:color w:val="262626" w:themeColor="text1" w:themeTint="D9"/>
                <w:lang w:eastAsia="en-US"/>
              </w:rPr>
              <w:t>y</w:t>
            </w:r>
            <w:r w:rsidRPr="00EE4AF3">
              <w:rPr>
                <w:iCs/>
                <w:color w:val="262626" w:themeColor="text1" w:themeTint="D9"/>
                <w:lang w:eastAsia="en-US"/>
              </w:rPr>
              <w:t xml:space="preserve"> kapitoly 917 09 Transfery, záštity – Nadační fond Martina Chaloupky, </w:t>
            </w:r>
            <w:r>
              <w:rPr>
                <w:iCs/>
                <w:color w:val="262626" w:themeColor="text1" w:themeTint="D9"/>
                <w:lang w:eastAsia="en-US"/>
              </w:rPr>
              <w:t>Psychiatrická nemocnice Horní Beřkovice</w:t>
            </w:r>
            <w:r w:rsidRPr="00EE4AF3">
              <w:rPr>
                <w:iCs/>
                <w:color w:val="262626" w:themeColor="text1" w:themeTint="D9"/>
                <w:lang w:eastAsia="en-US"/>
              </w:rPr>
              <w:t xml:space="preserve">, </w:t>
            </w:r>
            <w:r>
              <w:rPr>
                <w:iCs/>
                <w:color w:val="262626" w:themeColor="text1" w:themeTint="D9"/>
                <w:lang w:eastAsia="en-US"/>
              </w:rPr>
              <w:t>Domácí hospic 14. pomocníků, z. s.</w:t>
            </w:r>
          </w:p>
          <w:p w14:paraId="6FC45AB8" w14:textId="28C09E3A" w:rsidR="00570D6C" w:rsidRPr="00536322" w:rsidRDefault="00570D6C" w:rsidP="00570D6C">
            <w:pPr>
              <w:spacing w:before="60" w:after="60"/>
              <w:jc w:val="both"/>
              <w:rPr>
                <w:iCs/>
                <w:color w:val="262626" w:themeColor="text1" w:themeTint="D9"/>
                <w:highlight w:val="yellow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AD93A41" w14:textId="60B630D5" w:rsidR="00570D6C" w:rsidRPr="004E2C87" w:rsidRDefault="00F971ED" w:rsidP="00570D6C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570D6C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705" w:type="dxa"/>
            <w:vAlign w:val="center"/>
          </w:tcPr>
          <w:p w14:paraId="5C1D1F6E" w14:textId="653D3174" w:rsidR="00570D6C" w:rsidRPr="002B2FAF" w:rsidRDefault="00175D88" w:rsidP="00822B5C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716E495E" w:rsidR="00570D6C" w:rsidRPr="004E2C87" w:rsidRDefault="00D54FAB" w:rsidP="00822B5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36322" w:rsidRPr="004E2C87">
              <w:rPr>
                <w:sz w:val="22"/>
                <w:szCs w:val="22"/>
              </w:rPr>
              <w:t>Šebestová</w:t>
            </w:r>
          </w:p>
        </w:tc>
      </w:tr>
      <w:tr w:rsidR="00570D6C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146AB4AA" w14:textId="5EEA2C19" w:rsidR="00570D6C" w:rsidRPr="002B2FAF" w:rsidRDefault="00175D88" w:rsidP="00303488">
            <w:pPr>
              <w:spacing w:before="120"/>
              <w:jc w:val="both"/>
            </w:pPr>
            <w:r>
              <w:t>Různé</w:t>
            </w:r>
          </w:p>
        </w:tc>
        <w:tc>
          <w:tcPr>
            <w:tcW w:w="2126" w:type="dxa"/>
            <w:vAlign w:val="center"/>
          </w:tcPr>
          <w:p w14:paraId="5CA193C8" w14:textId="7900CBEC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A888" w14:textId="77777777" w:rsidR="009558A2" w:rsidRDefault="009558A2">
      <w:r>
        <w:separator/>
      </w:r>
    </w:p>
  </w:endnote>
  <w:endnote w:type="continuationSeparator" w:id="0">
    <w:p w14:paraId="6220CA3D" w14:textId="77777777" w:rsidR="009558A2" w:rsidRDefault="0095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B1E2" w14:textId="77777777" w:rsidR="009558A2" w:rsidRDefault="009558A2">
      <w:r>
        <w:separator/>
      </w:r>
    </w:p>
  </w:footnote>
  <w:footnote w:type="continuationSeparator" w:id="0">
    <w:p w14:paraId="6FBD6E8B" w14:textId="77777777" w:rsidR="009558A2" w:rsidRDefault="0095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1512"/>
    <w:rsid w:val="000647B6"/>
    <w:rsid w:val="00071E19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4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7FE0"/>
    <w:rsid w:val="00101424"/>
    <w:rsid w:val="001069FA"/>
    <w:rsid w:val="00111AFF"/>
    <w:rsid w:val="00115CAE"/>
    <w:rsid w:val="00121AF2"/>
    <w:rsid w:val="001305F4"/>
    <w:rsid w:val="001314B7"/>
    <w:rsid w:val="00134B23"/>
    <w:rsid w:val="00140918"/>
    <w:rsid w:val="001423A3"/>
    <w:rsid w:val="00142D54"/>
    <w:rsid w:val="0014422B"/>
    <w:rsid w:val="00144AE3"/>
    <w:rsid w:val="0014624F"/>
    <w:rsid w:val="00147618"/>
    <w:rsid w:val="001502E1"/>
    <w:rsid w:val="00150337"/>
    <w:rsid w:val="001665ED"/>
    <w:rsid w:val="001669FC"/>
    <w:rsid w:val="001679DB"/>
    <w:rsid w:val="00170F1E"/>
    <w:rsid w:val="00172AF3"/>
    <w:rsid w:val="001759C2"/>
    <w:rsid w:val="00175D88"/>
    <w:rsid w:val="00176B67"/>
    <w:rsid w:val="0018198C"/>
    <w:rsid w:val="0018251C"/>
    <w:rsid w:val="001855F6"/>
    <w:rsid w:val="0018681A"/>
    <w:rsid w:val="001874B7"/>
    <w:rsid w:val="00187C34"/>
    <w:rsid w:val="0019018D"/>
    <w:rsid w:val="00190849"/>
    <w:rsid w:val="00192AAB"/>
    <w:rsid w:val="00192D91"/>
    <w:rsid w:val="001941A7"/>
    <w:rsid w:val="00194C7E"/>
    <w:rsid w:val="001952EB"/>
    <w:rsid w:val="00196C3A"/>
    <w:rsid w:val="001A07DA"/>
    <w:rsid w:val="001A2303"/>
    <w:rsid w:val="001A3976"/>
    <w:rsid w:val="001A4257"/>
    <w:rsid w:val="001A6299"/>
    <w:rsid w:val="001A6F2F"/>
    <w:rsid w:val="001B38D7"/>
    <w:rsid w:val="001B565C"/>
    <w:rsid w:val="001B721D"/>
    <w:rsid w:val="001C2240"/>
    <w:rsid w:val="001C31D7"/>
    <w:rsid w:val="001C4985"/>
    <w:rsid w:val="001C4F60"/>
    <w:rsid w:val="001C57FA"/>
    <w:rsid w:val="001C6BDB"/>
    <w:rsid w:val="001D269A"/>
    <w:rsid w:val="001D335C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61474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24E4B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50B66"/>
    <w:rsid w:val="00451BA6"/>
    <w:rsid w:val="004525E5"/>
    <w:rsid w:val="00452F2E"/>
    <w:rsid w:val="004658C5"/>
    <w:rsid w:val="004658EB"/>
    <w:rsid w:val="00467D7E"/>
    <w:rsid w:val="00470E80"/>
    <w:rsid w:val="00472920"/>
    <w:rsid w:val="00473511"/>
    <w:rsid w:val="00483097"/>
    <w:rsid w:val="0048336B"/>
    <w:rsid w:val="004835DC"/>
    <w:rsid w:val="004866C9"/>
    <w:rsid w:val="00492124"/>
    <w:rsid w:val="004972B3"/>
    <w:rsid w:val="00497F07"/>
    <w:rsid w:val="004A286D"/>
    <w:rsid w:val="004A2C77"/>
    <w:rsid w:val="004A5316"/>
    <w:rsid w:val="004A597A"/>
    <w:rsid w:val="004A5F1B"/>
    <w:rsid w:val="004A5FD2"/>
    <w:rsid w:val="004B0E98"/>
    <w:rsid w:val="004B1B31"/>
    <w:rsid w:val="004B21E1"/>
    <w:rsid w:val="004B60D9"/>
    <w:rsid w:val="004C4514"/>
    <w:rsid w:val="004C788B"/>
    <w:rsid w:val="004D0417"/>
    <w:rsid w:val="004D53CD"/>
    <w:rsid w:val="004E2C87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4ADA"/>
    <w:rsid w:val="0053515A"/>
    <w:rsid w:val="00536322"/>
    <w:rsid w:val="005405B3"/>
    <w:rsid w:val="005452C4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5921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521"/>
    <w:rsid w:val="007A7BDF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72D3"/>
    <w:rsid w:val="00841D15"/>
    <w:rsid w:val="00842CB3"/>
    <w:rsid w:val="00850B7B"/>
    <w:rsid w:val="00852DD5"/>
    <w:rsid w:val="00854F03"/>
    <w:rsid w:val="00855705"/>
    <w:rsid w:val="00860598"/>
    <w:rsid w:val="00860CD3"/>
    <w:rsid w:val="008645B8"/>
    <w:rsid w:val="008649BF"/>
    <w:rsid w:val="008756E8"/>
    <w:rsid w:val="008846D1"/>
    <w:rsid w:val="008865B0"/>
    <w:rsid w:val="00887EAD"/>
    <w:rsid w:val="008927BD"/>
    <w:rsid w:val="00892AF6"/>
    <w:rsid w:val="0089614A"/>
    <w:rsid w:val="008A64BB"/>
    <w:rsid w:val="008A6CE2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3152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19B8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558A2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86E14"/>
    <w:rsid w:val="00990AC5"/>
    <w:rsid w:val="00991BA7"/>
    <w:rsid w:val="00992D40"/>
    <w:rsid w:val="00994A6E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0C3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6C8F"/>
    <w:rsid w:val="00AD0380"/>
    <w:rsid w:val="00AE1743"/>
    <w:rsid w:val="00AE672F"/>
    <w:rsid w:val="00AE70A9"/>
    <w:rsid w:val="00AF0F3C"/>
    <w:rsid w:val="00AF3B69"/>
    <w:rsid w:val="00B01FDD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304A"/>
    <w:rsid w:val="00BA3FEB"/>
    <w:rsid w:val="00BA7B6F"/>
    <w:rsid w:val="00BB01B6"/>
    <w:rsid w:val="00BB1AB8"/>
    <w:rsid w:val="00BB32F4"/>
    <w:rsid w:val="00BB6F01"/>
    <w:rsid w:val="00BC0097"/>
    <w:rsid w:val="00BC3562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4FAB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1CB1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46A14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521C"/>
    <w:rsid w:val="00ED64C3"/>
    <w:rsid w:val="00ED6AE0"/>
    <w:rsid w:val="00EE2035"/>
    <w:rsid w:val="00EE4AF3"/>
    <w:rsid w:val="00EE76C7"/>
    <w:rsid w:val="00EF18B3"/>
    <w:rsid w:val="00EF55FB"/>
    <w:rsid w:val="00F23DD1"/>
    <w:rsid w:val="00F26CA2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3C46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971ED"/>
    <w:rsid w:val="00FA09DF"/>
    <w:rsid w:val="00FA0A32"/>
    <w:rsid w:val="00FA2AE8"/>
    <w:rsid w:val="00FA2E65"/>
    <w:rsid w:val="00FA3268"/>
    <w:rsid w:val="00FA610D"/>
    <w:rsid w:val="00FA63CE"/>
    <w:rsid w:val="00FA6443"/>
    <w:rsid w:val="00FB013F"/>
    <w:rsid w:val="00FB046D"/>
    <w:rsid w:val="00FB04C3"/>
    <w:rsid w:val="00FB27A4"/>
    <w:rsid w:val="00FB3DC3"/>
    <w:rsid w:val="00FB3F9F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</Words>
  <Characters>762</Characters>
  <Application>Microsoft Office Word</Application>
  <DocSecurity>0</DocSecurity>
  <Lines>46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26</cp:revision>
  <cp:lastPrinted>2026-03-16T12:54:00Z</cp:lastPrinted>
  <dcterms:created xsi:type="dcterms:W3CDTF">2025-12-03T11:34:00Z</dcterms:created>
  <dcterms:modified xsi:type="dcterms:W3CDTF">2026-03-16T12:55:00Z</dcterms:modified>
</cp:coreProperties>
</file>